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90" w:rsidRDefault="00227A90" w:rsidP="00227A90">
      <w:pPr>
        <w:jc w:val="center"/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-75565</wp:posOffset>
            </wp:positionV>
            <wp:extent cx="645160" cy="848995"/>
            <wp:effectExtent l="19050" t="0" r="254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A90" w:rsidRDefault="00227A90" w:rsidP="00227A90">
      <w:pPr>
        <w:jc w:val="center"/>
        <w:rPr>
          <w:sz w:val="16"/>
          <w:szCs w:val="16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7F060D" w:rsidRPr="00B63338" w:rsidRDefault="007F060D" w:rsidP="00B63338">
      <w:pPr>
        <w:jc w:val="right"/>
        <w:rPr>
          <w:sz w:val="28"/>
          <w:szCs w:val="28"/>
        </w:rPr>
      </w:pP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СОВЕТ ДЕПУТАТОВ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СВЕРДЛОВСКОГО МУНИЦИПАЛЬНОГО ОБРАЗОВАНИЯ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КАЛИНИНСКОГО МУНИЦИПАЛЬНОГО РАЙОНА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САРАТОВСКОЙ ОБЛАСТИ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(</w:t>
      </w:r>
      <w:r>
        <w:rPr>
          <w:sz w:val="28"/>
          <w:szCs w:val="28"/>
        </w:rPr>
        <w:t>четвертого</w:t>
      </w:r>
      <w:r w:rsidRPr="003E179D">
        <w:rPr>
          <w:sz w:val="28"/>
          <w:szCs w:val="28"/>
        </w:rPr>
        <w:t xml:space="preserve"> созыва)</w:t>
      </w:r>
    </w:p>
    <w:p w:rsidR="002A2EB6" w:rsidRDefault="002A2EB6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РЕШЕНИЕ</w:t>
      </w: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EF7FCB" w:rsidRDefault="002A2EB6" w:rsidP="00EF7FCB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11.05</w:t>
      </w:r>
      <w:r w:rsidR="00227A90" w:rsidRPr="00EF7FCB">
        <w:rPr>
          <w:sz w:val="24"/>
          <w:szCs w:val="24"/>
        </w:rPr>
        <w:t>.202</w:t>
      </w:r>
      <w:r w:rsidR="002403CA">
        <w:rPr>
          <w:sz w:val="24"/>
          <w:szCs w:val="24"/>
        </w:rPr>
        <w:t>3</w:t>
      </w:r>
      <w:r w:rsidR="00EF7FCB" w:rsidRPr="00EF7FCB">
        <w:rPr>
          <w:sz w:val="24"/>
          <w:szCs w:val="24"/>
        </w:rPr>
        <w:t xml:space="preserve"> года </w:t>
      </w:r>
      <w:r w:rsidR="00227A90" w:rsidRPr="00EF7FCB">
        <w:rPr>
          <w:sz w:val="24"/>
          <w:szCs w:val="24"/>
        </w:rPr>
        <w:t xml:space="preserve">№ </w:t>
      </w:r>
      <w:r>
        <w:rPr>
          <w:sz w:val="24"/>
          <w:szCs w:val="24"/>
        </w:rPr>
        <w:t>91-217</w:t>
      </w:r>
    </w:p>
    <w:p w:rsidR="00227A90" w:rsidRDefault="00227A90" w:rsidP="00227A90">
      <w:pPr>
        <w:spacing w:line="240" w:lineRule="atLeast"/>
        <w:jc w:val="center"/>
      </w:pPr>
      <w:r w:rsidRPr="003E179D">
        <w:t xml:space="preserve">с. </w:t>
      </w:r>
      <w:proofErr w:type="spellStart"/>
      <w:r w:rsidRPr="003E179D">
        <w:t>Свердлово</w:t>
      </w:r>
      <w:proofErr w:type="spellEnd"/>
    </w:p>
    <w:p w:rsidR="00EF7FCB" w:rsidRDefault="00EF7FCB" w:rsidP="00227A90">
      <w:pPr>
        <w:spacing w:line="240" w:lineRule="atLeast"/>
        <w:jc w:val="center"/>
      </w:pPr>
    </w:p>
    <w:tbl>
      <w:tblPr>
        <w:tblStyle w:val="a6"/>
        <w:tblW w:w="0" w:type="auto"/>
        <w:tblLook w:val="04A0"/>
      </w:tblPr>
      <w:tblGrid>
        <w:gridCol w:w="5353"/>
      </w:tblGrid>
      <w:tr w:rsidR="00EF7FCB" w:rsidTr="00EF7FC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F7FCB" w:rsidRDefault="00EF7FCB" w:rsidP="00EF7FCB">
            <w:pPr>
              <w:tabs>
                <w:tab w:val="left" w:pos="19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отчета «Об исполнении  бюджета </w:t>
            </w:r>
            <w:r>
              <w:rPr>
                <w:b/>
                <w:bCs/>
                <w:sz w:val="28"/>
                <w:szCs w:val="28"/>
              </w:rPr>
              <w:t>Свердло</w:t>
            </w:r>
            <w:r w:rsidRPr="006E6012">
              <w:rPr>
                <w:b/>
                <w:bCs/>
                <w:sz w:val="28"/>
                <w:szCs w:val="28"/>
              </w:rPr>
              <w:t>вского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6E6012">
              <w:rPr>
                <w:b/>
                <w:sz w:val="28"/>
                <w:szCs w:val="28"/>
              </w:rPr>
              <w:t>муниципального образования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6012">
              <w:rPr>
                <w:b/>
                <w:sz w:val="28"/>
                <w:szCs w:val="28"/>
              </w:rPr>
              <w:t>Калининского</w:t>
            </w:r>
            <w:r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EF7FCB" w:rsidRPr="006E6012" w:rsidRDefault="00EF7FCB" w:rsidP="00EF7FCB">
            <w:pPr>
              <w:tabs>
                <w:tab w:val="left" w:pos="19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6E6012">
              <w:rPr>
                <w:b/>
                <w:sz w:val="28"/>
                <w:szCs w:val="28"/>
              </w:rPr>
              <w:t>аратовской области</w:t>
            </w:r>
            <w:r>
              <w:rPr>
                <w:b/>
                <w:sz w:val="28"/>
                <w:szCs w:val="28"/>
              </w:rPr>
              <w:t xml:space="preserve">  за 202</w:t>
            </w:r>
            <w:r w:rsidR="002403C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год</w:t>
            </w:r>
            <w:r w:rsidRPr="006E6012">
              <w:rPr>
                <w:b/>
                <w:sz w:val="28"/>
                <w:szCs w:val="28"/>
              </w:rPr>
              <w:t>»</w:t>
            </w:r>
          </w:p>
          <w:p w:rsidR="00EF7FCB" w:rsidRDefault="00EF7FCB" w:rsidP="00227A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10D9" w:rsidRPr="00227A90" w:rsidRDefault="004310D9" w:rsidP="004310D9">
      <w:pPr>
        <w:rPr>
          <w:sz w:val="28"/>
          <w:szCs w:val="28"/>
        </w:rPr>
      </w:pPr>
    </w:p>
    <w:p w:rsidR="00227A90" w:rsidRPr="00227A90" w:rsidRDefault="004310D9" w:rsidP="00227A90">
      <w:pPr>
        <w:pStyle w:val="1"/>
        <w:spacing w:before="0"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227A90">
        <w:rPr>
          <w:rFonts w:ascii="Times New Roman" w:eastAsia="Times New Roman" w:hAnsi="Times New Roman" w:cs="Times New Roman"/>
          <w:b w:val="0"/>
          <w:bCs w:val="0"/>
          <w:color w:val="auto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согласно ст. 264.2 п. 5 Бюджетного Кодекса РФ, на основании Устава Свердловского муниципального образования Калининского муниципального района Саратовской области</w:t>
      </w:r>
      <w:r w:rsidR="00227A90" w:rsidRPr="00227A9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, Совет депутатов Свердловского муниципального образования </w:t>
      </w:r>
    </w:p>
    <w:p w:rsidR="00227A90" w:rsidRDefault="00227A90" w:rsidP="00227A90">
      <w:pPr>
        <w:ind w:firstLine="567"/>
        <w:jc w:val="both"/>
        <w:rPr>
          <w:sz w:val="28"/>
          <w:szCs w:val="28"/>
        </w:rPr>
      </w:pPr>
    </w:p>
    <w:p w:rsidR="00227A90" w:rsidRDefault="00227A90" w:rsidP="00227A90">
      <w:pPr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4310D9" w:rsidRPr="004310D9" w:rsidRDefault="004310D9" w:rsidP="00227A90">
      <w:pPr>
        <w:jc w:val="both"/>
        <w:rPr>
          <w:sz w:val="28"/>
          <w:szCs w:val="28"/>
        </w:rPr>
      </w:pPr>
    </w:p>
    <w:p w:rsidR="002403CA" w:rsidRDefault="002403CA" w:rsidP="002403C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бюджета за 4 квартал 2022 года:</w:t>
      </w:r>
    </w:p>
    <w:p w:rsidR="002403CA" w:rsidRDefault="002403CA" w:rsidP="002403CA">
      <w:pPr>
        <w:rPr>
          <w:sz w:val="28"/>
          <w:szCs w:val="28"/>
        </w:rPr>
      </w:pPr>
    </w:p>
    <w:p w:rsidR="002403CA" w:rsidRDefault="002403CA" w:rsidP="002403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по доходам в сумме  9591,7 тыс. руб. (Приложение №1)</w:t>
      </w:r>
    </w:p>
    <w:p w:rsidR="002403CA" w:rsidRDefault="002403CA" w:rsidP="002403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по расходам в сумме  9423,3 тыс. руб. (Приложение №2)</w:t>
      </w:r>
    </w:p>
    <w:p w:rsidR="002403CA" w:rsidRDefault="002403CA" w:rsidP="002403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дефицит бюджета  в сумме  168,4 тыс. руб. (Приложение №3)</w:t>
      </w: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</w:p>
    <w:p w:rsidR="004310D9" w:rsidRDefault="004310D9" w:rsidP="00227A90">
      <w:pPr>
        <w:ind w:firstLine="709"/>
        <w:jc w:val="both"/>
        <w:rPr>
          <w:sz w:val="28"/>
          <w:szCs w:val="28"/>
        </w:rPr>
      </w:pPr>
      <w:r w:rsidRPr="004310D9">
        <w:rPr>
          <w:sz w:val="28"/>
          <w:szCs w:val="28"/>
        </w:rPr>
        <w:t xml:space="preserve">2. </w:t>
      </w:r>
      <w:proofErr w:type="gramStart"/>
      <w:r w:rsidRPr="004310D9">
        <w:rPr>
          <w:sz w:val="28"/>
          <w:szCs w:val="28"/>
        </w:rPr>
        <w:t>Контроль за</w:t>
      </w:r>
      <w:proofErr w:type="gramEnd"/>
      <w:r w:rsidRPr="004310D9">
        <w:rPr>
          <w:sz w:val="28"/>
          <w:szCs w:val="28"/>
        </w:rPr>
        <w:t xml:space="preserve"> исполнением настоящего </w:t>
      </w:r>
      <w:r w:rsidR="00227A90">
        <w:rPr>
          <w:sz w:val="28"/>
          <w:szCs w:val="28"/>
        </w:rPr>
        <w:t>решения</w:t>
      </w:r>
      <w:r w:rsidRPr="004310D9">
        <w:rPr>
          <w:sz w:val="28"/>
          <w:szCs w:val="28"/>
        </w:rPr>
        <w:t xml:space="preserve"> оставляю за собой.</w:t>
      </w: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227A90" w:rsidRDefault="002A2EB6" w:rsidP="00227A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лавы</w:t>
      </w:r>
      <w:r w:rsidR="00227A90">
        <w:rPr>
          <w:b/>
          <w:sz w:val="28"/>
          <w:szCs w:val="28"/>
        </w:rPr>
        <w:t xml:space="preserve"> </w:t>
      </w:r>
      <w:r w:rsidR="00227A90" w:rsidRPr="00B50201">
        <w:rPr>
          <w:b/>
          <w:sz w:val="28"/>
          <w:szCs w:val="28"/>
        </w:rPr>
        <w:t>Свердловского</w:t>
      </w:r>
    </w:p>
    <w:p w:rsidR="00227A90" w:rsidRDefault="00227A90" w:rsidP="00227A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A2EB6">
        <w:rPr>
          <w:b/>
          <w:sz w:val="28"/>
          <w:szCs w:val="28"/>
        </w:rPr>
        <w:t>В.Н.Хохлов</w:t>
      </w: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lastRenderedPageBreak/>
        <w:t>Приложение</w:t>
      </w:r>
      <w:r>
        <w:rPr>
          <w:b/>
          <w:bCs/>
        </w:rPr>
        <w:t xml:space="preserve"> № 1</w:t>
      </w:r>
    </w:p>
    <w:p w:rsidR="004310D9" w:rsidRPr="002D7A25" w:rsidRDefault="004310D9" w:rsidP="00227A90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 w:rsidR="00227A90">
        <w:rPr>
          <w:b/>
          <w:bCs/>
        </w:rPr>
        <w:t>Решению</w:t>
      </w:r>
      <w:r>
        <w:rPr>
          <w:b/>
          <w:bCs/>
        </w:rPr>
        <w:t xml:space="preserve"> главы Свердловского МО</w:t>
      </w:r>
    </w:p>
    <w:p w:rsidR="004310D9" w:rsidRPr="00122DCF" w:rsidRDefault="004310D9" w:rsidP="004310D9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2A2EB6">
        <w:rPr>
          <w:b/>
          <w:bCs/>
        </w:rPr>
        <w:t xml:space="preserve"> 11.05</w:t>
      </w:r>
      <w:r>
        <w:rPr>
          <w:b/>
          <w:bCs/>
        </w:rPr>
        <w:t>.202</w:t>
      </w:r>
      <w:r w:rsidR="00797CB3">
        <w:rPr>
          <w:b/>
          <w:bCs/>
        </w:rPr>
        <w:t>3</w:t>
      </w:r>
      <w:r>
        <w:rPr>
          <w:b/>
          <w:bCs/>
        </w:rPr>
        <w:t xml:space="preserve"> </w:t>
      </w:r>
      <w:r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2A2EB6">
        <w:rPr>
          <w:b/>
          <w:bCs/>
        </w:rPr>
        <w:t>91-217</w:t>
      </w:r>
      <w:r>
        <w:rPr>
          <w:b/>
          <w:bCs/>
        </w:rPr>
        <w:t xml:space="preserve">  </w:t>
      </w:r>
    </w:p>
    <w:p w:rsidR="004310D9" w:rsidRPr="00CD1D4A" w:rsidRDefault="004310D9" w:rsidP="004310D9">
      <w:pPr>
        <w:ind w:left="-360"/>
        <w:jc w:val="right"/>
      </w:pPr>
    </w:p>
    <w:p w:rsidR="004310D9" w:rsidRDefault="004310D9" w:rsidP="004310D9">
      <w:pPr>
        <w:jc w:val="center"/>
        <w:rPr>
          <w:b/>
          <w:sz w:val="28"/>
          <w:szCs w:val="28"/>
        </w:rPr>
      </w:pPr>
    </w:p>
    <w:p w:rsidR="002403CA" w:rsidRPr="00A64CA0" w:rsidRDefault="002403CA" w:rsidP="002403CA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>ов в бюджет  за 2022 года</w:t>
      </w:r>
    </w:p>
    <w:p w:rsidR="002403CA" w:rsidRPr="0057787F" w:rsidRDefault="002403CA" w:rsidP="002403CA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 xml:space="preserve">Сумма 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1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3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  <w:i/>
              </w:rPr>
            </w:pPr>
            <w:r w:rsidRPr="00ED4597">
              <w:rPr>
                <w:b/>
                <w:i/>
              </w:rPr>
              <w:t>1 00 00000 00 0000 000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  <w:i/>
              </w:rPr>
            </w:pPr>
            <w:r w:rsidRPr="00ED4597">
              <w:rPr>
                <w:b/>
                <w:i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  <w:i/>
              </w:rPr>
            </w:pPr>
            <w:r w:rsidRPr="00ED4597">
              <w:rPr>
                <w:b/>
                <w:i/>
              </w:rPr>
              <w:t>5306,8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3503,6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1 01 00000 00 0000 000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378,5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1 01 02010 01 1000 110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roofErr w:type="gramStart"/>
            <w:r w:rsidRPr="00ED4597">
              <w:t>Налог на доходы физических лиц с доходов, облагаемых по налоговой ставке, установленной пунктом 1 статьи 224 Налогового кодекса РФ,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378,5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1 03 02000 00 0000 000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1308,1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1 03 02230 01 0000 110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655,7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1 03 02240 01 0000 110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3,6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1 03 02250 01 0000 110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724,0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1 03 02260 01 0000 110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-75,2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1 05 00000 00 0000 000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35,4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 xml:space="preserve">1 05 03010 01 0000 110 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Единый сельскохозяйственный налог, взимаемый с налогоплательщиков</w:t>
            </w:r>
            <w:proofErr w:type="gramStart"/>
            <w:r w:rsidRPr="00ED4597">
              <w:t xml:space="preserve"> ,</w:t>
            </w:r>
            <w:proofErr w:type="gramEnd"/>
            <w:r w:rsidRPr="00ED4597">
              <w:t xml:space="preserve"> выбравших в качестве налогообложения  доходы, уменьшенные на величину расходов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35,4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1 06 00000 00 0000 000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НАЛОГИ НА ИМУЩЕСТВО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1772,4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1 06 01030 10 1000 000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Налог на имущество физических лиц</w:t>
            </w:r>
            <w:proofErr w:type="gramStart"/>
            <w:r w:rsidRPr="00ED4597">
              <w:t xml:space="preserve"> ,</w:t>
            </w:r>
            <w:proofErr w:type="gramEnd"/>
            <w:r w:rsidRPr="00ED4597">
              <w:t xml:space="preserve">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108,5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1 06 06000 00 0000 000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Земельный налог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1663,8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1 06 06033 10 1000 110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Земельный налог, взимаемый  по ставкам, установленным в соответствии с подпунктом 1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828,8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1 06 06043 10 1000 110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 xml:space="preserve">Земельный налог, взимаемый  по ставкам, установленным в соответствии с подпунктом 2 пункта 1 статьи 394 Налогового кодекса РВ и применяемым к объектам </w:t>
            </w:r>
            <w:r w:rsidRPr="00ED4597">
              <w:lastRenderedPageBreak/>
              <w:t>налогообложения, расположенным в границах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lastRenderedPageBreak/>
              <w:t>835,0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lastRenderedPageBreak/>
              <w:t>1 08 00000 00 0000 000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9,2</w:t>
            </w:r>
          </w:p>
        </w:tc>
      </w:tr>
      <w:tr w:rsidR="002403CA" w:rsidRPr="00ED4597" w:rsidTr="00B94D42">
        <w:trPr>
          <w:trHeight w:val="1470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 xml:space="preserve">1 08 04020 01 4000 110 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Государственная пошлина за совершение нотариальных действий должностными лицами ОМС,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9,2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НЕНАЛОГОВЫЕ ДОХОДЫ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1803,2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1 11 05025 10 0000 120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roofErr w:type="gramStart"/>
            <w:r w:rsidRPr="00ED4597">
              <w:t>Доходы, получаемые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  <w:proofErr w:type="gramEnd"/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784,2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1 11 05013 10 0000 120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Доходы, получаемые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1 11 05035 10 0000 120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-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 xml:space="preserve">1 14 02053 10 0000 410 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реализации иного имущества, находящегося в собственности поселений, в части реализации основных средств по указанному имуществу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1 14 02053 10 0000 410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 xml:space="preserve">   459,1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1 14 06025 10 0000 430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продажи земельных участков, государственная собственность на которые не разграничена и которые находятся в границах поселений.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197,9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1 16 51040 02 0000 140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Денежные взыскания (штрафы), 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1 17 05050 10 0000 180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Прочие неналоговые доходы бюджетов сельских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1 17 15030 10 2047 150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Инициативные платежи, зачисляемые в бюджеты сельских поселений (инициативные платежи граждан на реализацию проекта «Расширение и благоустройство паркового пространства Центрального парка» с использованием средств областного бюджета)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62,0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1 17 15030 10 3047 150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«Расширение и благоустройство паркового пространства Центрального парка»</w:t>
            </w:r>
            <w:proofErr w:type="gramStart"/>
            <w:r w:rsidRPr="00ED4597">
              <w:t xml:space="preserve"> )</w:t>
            </w:r>
            <w:proofErr w:type="gramEnd"/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300,0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  <w:i/>
              </w:rPr>
            </w:pPr>
          </w:p>
        </w:tc>
        <w:tc>
          <w:tcPr>
            <w:tcW w:w="5472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  <w:bCs/>
              </w:rPr>
            </w:pPr>
            <w:r w:rsidRPr="00ED459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  <w:bCs/>
              </w:rPr>
            </w:pPr>
            <w:r w:rsidRPr="00ED4597">
              <w:rPr>
                <w:b/>
                <w:bCs/>
              </w:rPr>
              <w:t>4284,9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2 02 01001 10 0002 150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 xml:space="preserve">Дотация бюджетам поселений на выравнивание  бюджетной обеспеченности из средств областного бюджета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/>
          <w:p w:rsidR="002403CA" w:rsidRPr="00ED4597" w:rsidRDefault="002403CA" w:rsidP="00B94D42">
            <w:r w:rsidRPr="00ED4597">
              <w:t>2 02 16001 100002 150</w:t>
            </w:r>
          </w:p>
          <w:p w:rsidR="002403CA" w:rsidRPr="00ED4597" w:rsidRDefault="002403CA" w:rsidP="00B94D42"/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>Дотация бюджетам поселений на выравнивание  бюджетной обеспеченности из средств муниципальных районов за счет средств областного бюджета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53,5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2 02 25576 100000 150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2 02 29999 10 0073150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1090,0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2 02 29999 10 0075 150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 xml:space="preserve">Субсидии бюджетам сельских поселений области на </w:t>
            </w:r>
            <w:r w:rsidRPr="00ED4597">
              <w:lastRenderedPageBreak/>
              <w:t xml:space="preserve">обеспечение </w:t>
            </w:r>
            <w:proofErr w:type="gramStart"/>
            <w:r w:rsidRPr="00ED4597"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lastRenderedPageBreak/>
              <w:t>2 02 29999 10 0118 150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>Субсидии бюджетам  поселений области на обеспечение дорожной деятельности в отношении автомобильных дорого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3036,0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2 02 04014 10 0001 150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2 02 04014 10 0002 150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</w:t>
            </w:r>
            <w:proofErr w:type="gramStart"/>
            <w:r w:rsidRPr="00ED4597">
              <w:rPr>
                <w:bCs/>
              </w:rPr>
              <w:t>.п</w:t>
            </w:r>
            <w:proofErr w:type="gramEnd"/>
            <w:r w:rsidRPr="00ED4597">
              <w:rPr>
                <w:bCs/>
              </w:rPr>
              <w:t>ланов поселения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2 02 49999 10 0001 150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Иные межбюджетные трансферты, передаваемые бюджетам сельских поселений, на обеспечение сбалансированности бюджета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/>
          <w:p w:rsidR="002403CA" w:rsidRPr="00ED4597" w:rsidRDefault="002403CA" w:rsidP="00B94D42">
            <w:r w:rsidRPr="00ED4597">
              <w:t>202 4999 10 0054 150</w:t>
            </w:r>
          </w:p>
          <w:p w:rsidR="002403CA" w:rsidRPr="00ED4597" w:rsidRDefault="002403CA" w:rsidP="00B94D42"/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Межбюджетные трансферты, передаваемые бюджетам сельских поселений, на достижение надлежащего уровня оплаты труда в органах местного самоуправления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2 02 35118 10 0000 150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105,4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2 02 49999 10 0002 150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2 02 49999 10 0003 150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Иные межбюджетные трансферты за счет средств доп</w:t>
            </w:r>
            <w:proofErr w:type="gramStart"/>
            <w:r w:rsidRPr="00ED4597">
              <w:rPr>
                <w:bCs/>
              </w:rPr>
              <w:t>.ф</w:t>
            </w:r>
            <w:proofErr w:type="gramEnd"/>
            <w:r w:rsidRPr="00ED4597">
              <w:rPr>
                <w:bCs/>
              </w:rPr>
              <w:t>инансовой помощи предоставленной из областного бюджета, в соответствии с заключенным соглашением, в виде дотации, на погашение просроченной кредит. Задолженности.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/>
        </w:tc>
        <w:tc>
          <w:tcPr>
            <w:tcW w:w="5472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  <w:bCs/>
              </w:rPr>
            </w:pPr>
            <w:r w:rsidRPr="00ED4597">
              <w:rPr>
                <w:b/>
                <w:bCs/>
              </w:rPr>
              <w:t>ВСЕГО ДОХОДОВ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9591,7</w:t>
            </w:r>
          </w:p>
        </w:tc>
      </w:tr>
    </w:tbl>
    <w:p w:rsidR="003E4500" w:rsidRDefault="003E4500" w:rsidP="00227A90">
      <w:pPr>
        <w:ind w:left="4140" w:right="-12"/>
        <w:jc w:val="right"/>
        <w:rPr>
          <w:b/>
          <w:bCs/>
        </w:rPr>
      </w:pPr>
    </w:p>
    <w:p w:rsidR="003E4500" w:rsidRDefault="003E4500" w:rsidP="00227A90">
      <w:pPr>
        <w:ind w:left="4140" w:right="-12"/>
        <w:jc w:val="right"/>
        <w:rPr>
          <w:b/>
          <w:bCs/>
        </w:rPr>
      </w:pPr>
    </w:p>
    <w:p w:rsidR="00227A90" w:rsidRPr="002D7A25" w:rsidRDefault="004310D9" w:rsidP="00227A90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                                    </w:t>
      </w:r>
      <w:r w:rsidR="00227A90" w:rsidRPr="002D7A25">
        <w:rPr>
          <w:b/>
          <w:bCs/>
        </w:rPr>
        <w:t>Приложение</w:t>
      </w:r>
      <w:r w:rsidR="00227A90">
        <w:rPr>
          <w:b/>
          <w:bCs/>
        </w:rPr>
        <w:t xml:space="preserve"> № 2</w:t>
      </w:r>
    </w:p>
    <w:p w:rsidR="00227A90" w:rsidRPr="002D7A25" w:rsidRDefault="00227A90" w:rsidP="00227A90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Решению главы Свердловского МО</w:t>
      </w:r>
    </w:p>
    <w:p w:rsidR="002A2EB6" w:rsidRPr="00122DCF" w:rsidRDefault="002A2EB6" w:rsidP="002A2EB6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 11.05.2023 </w:t>
      </w:r>
      <w:r w:rsidRPr="002D7A25">
        <w:rPr>
          <w:b/>
          <w:bCs/>
        </w:rPr>
        <w:t>№</w:t>
      </w:r>
      <w:r>
        <w:rPr>
          <w:b/>
          <w:bCs/>
        </w:rPr>
        <w:t xml:space="preserve"> 91-217  </w:t>
      </w:r>
    </w:p>
    <w:p w:rsidR="004310D9" w:rsidRDefault="004310D9" w:rsidP="004310D9">
      <w:pPr>
        <w:jc w:val="right"/>
      </w:pPr>
    </w:p>
    <w:p w:rsidR="003E4500" w:rsidRPr="004310D9" w:rsidRDefault="003E4500" w:rsidP="004310D9">
      <w:pPr>
        <w:jc w:val="right"/>
      </w:pPr>
    </w:p>
    <w:tbl>
      <w:tblPr>
        <w:tblW w:w="9519" w:type="dxa"/>
        <w:tblInd w:w="90" w:type="dxa"/>
        <w:tblLook w:val="0000"/>
      </w:tblPr>
      <w:tblGrid>
        <w:gridCol w:w="6397"/>
        <w:gridCol w:w="926"/>
        <w:gridCol w:w="1307"/>
        <w:gridCol w:w="889"/>
      </w:tblGrid>
      <w:tr w:rsidR="002403CA" w:rsidTr="00B94D42">
        <w:trPr>
          <w:trHeight w:val="255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3CA" w:rsidRPr="00EC172E" w:rsidRDefault="002403CA" w:rsidP="002403C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Распределение расходов бюджета </w:t>
            </w:r>
            <w:proofErr w:type="gramStart"/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за</w:t>
            </w:r>
            <w:proofErr w:type="gramEnd"/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по</w:t>
            </w:r>
            <w:proofErr w:type="gramEnd"/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разделам и подразделам функциональной классификации расходов бюджетов Российской Федерации</w:t>
            </w:r>
          </w:p>
        </w:tc>
      </w:tr>
      <w:tr w:rsidR="002403CA" w:rsidTr="00B94D42">
        <w:trPr>
          <w:trHeight w:val="270"/>
        </w:trPr>
        <w:tc>
          <w:tcPr>
            <w:tcW w:w="6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2403CA" w:rsidTr="00B94D42">
        <w:trPr>
          <w:trHeight w:val="780"/>
        </w:trPr>
        <w:tc>
          <w:tcPr>
            <w:tcW w:w="6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Pr="00EC172E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b/>
                <w:bCs/>
              </w:rPr>
            </w:pPr>
          </w:p>
        </w:tc>
      </w:tr>
      <w:tr w:rsidR="002403CA" w:rsidTr="00B94D42">
        <w:trPr>
          <w:trHeight w:val="315"/>
        </w:trPr>
        <w:tc>
          <w:tcPr>
            <w:tcW w:w="6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</w:t>
            </w:r>
          </w:p>
        </w:tc>
      </w:tr>
      <w:tr w:rsidR="002403CA" w:rsidTr="00B94D42">
        <w:trPr>
          <w:trHeight w:val="27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CA" w:rsidRDefault="002403CA" w:rsidP="00B94D4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03CA" w:rsidTr="00B94D42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2898,0</w:t>
            </w:r>
          </w:p>
        </w:tc>
      </w:tr>
      <w:tr w:rsidR="002403CA" w:rsidTr="00B94D42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50,9</w:t>
            </w:r>
          </w:p>
        </w:tc>
      </w:tr>
      <w:tr w:rsidR="002403CA" w:rsidTr="00B94D42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2403CA" w:rsidTr="00B94D42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Другие общегосударственные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125,4</w:t>
            </w:r>
          </w:p>
        </w:tc>
      </w:tr>
      <w:tr w:rsidR="002403CA" w:rsidTr="00B94D42">
        <w:trPr>
          <w:trHeight w:val="19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2403CA" w:rsidTr="00B94D42">
        <w:trPr>
          <w:trHeight w:val="16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105,4</w:t>
            </w:r>
          </w:p>
        </w:tc>
      </w:tr>
      <w:tr w:rsidR="002403CA" w:rsidTr="00B94D42">
        <w:trPr>
          <w:trHeight w:val="16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 w:rsidRPr="00481892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</w:tr>
      <w:tr w:rsidR="002403CA" w:rsidTr="00B94D42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4150,4</w:t>
            </w:r>
          </w:p>
        </w:tc>
      </w:tr>
      <w:tr w:rsidR="002403CA" w:rsidTr="00B94D42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51,7</w:t>
            </w:r>
          </w:p>
        </w:tc>
      </w:tr>
      <w:tr w:rsidR="002403CA" w:rsidTr="00B94D42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коммунальное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2403CA" w:rsidTr="00B94D42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42,3</w:t>
            </w:r>
          </w:p>
        </w:tc>
      </w:tr>
      <w:tr w:rsidR="002403CA" w:rsidTr="00B94D42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1899,6</w:t>
            </w:r>
          </w:p>
        </w:tc>
      </w:tr>
      <w:tr w:rsidR="002403CA" w:rsidTr="00B94D42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7EB">
              <w:rPr>
                <w:rFonts w:ascii="Arial" w:hAnsi="Arial" w:cs="Arial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4,6</w:t>
            </w:r>
          </w:p>
        </w:tc>
      </w:tr>
      <w:tr w:rsidR="002403CA" w:rsidTr="00B94D42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</w:tr>
      <w:tr w:rsidR="002403CA" w:rsidTr="00B94D42">
        <w:trPr>
          <w:trHeight w:val="20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Pr="00DC0C9F" w:rsidRDefault="002403CA" w:rsidP="00B94D42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9423,3</w:t>
            </w:r>
          </w:p>
        </w:tc>
      </w:tr>
    </w:tbl>
    <w:p w:rsidR="00EF7FCB" w:rsidRDefault="00EF7FCB" w:rsidP="00EF7FCB"/>
    <w:p w:rsidR="00227A90" w:rsidRDefault="00227A90">
      <w:pPr>
        <w:widowControl/>
        <w:autoSpaceDE/>
        <w:autoSpaceDN/>
        <w:adjustRightInd/>
        <w:spacing w:after="200" w:line="276" w:lineRule="auto"/>
        <w:rPr>
          <w:b/>
        </w:rPr>
      </w:pPr>
    </w:p>
    <w:p w:rsidR="00227A90" w:rsidRPr="002D7A25" w:rsidRDefault="004310D9" w:rsidP="00227A90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                                </w:t>
      </w:r>
      <w:r w:rsidR="00227A90" w:rsidRPr="002D7A25">
        <w:rPr>
          <w:b/>
          <w:bCs/>
        </w:rPr>
        <w:t>Приложение</w:t>
      </w:r>
      <w:r w:rsidR="00227A90">
        <w:rPr>
          <w:b/>
          <w:bCs/>
        </w:rPr>
        <w:t xml:space="preserve"> № 3</w:t>
      </w:r>
    </w:p>
    <w:p w:rsidR="00227A90" w:rsidRPr="002D7A25" w:rsidRDefault="00227A90" w:rsidP="00227A90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Решению главы Свердловского МО</w:t>
      </w:r>
    </w:p>
    <w:p w:rsidR="002A2EB6" w:rsidRPr="00122DCF" w:rsidRDefault="002A2EB6" w:rsidP="002A2EB6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 11.05.2023 </w:t>
      </w:r>
      <w:r w:rsidRPr="002D7A25">
        <w:rPr>
          <w:b/>
          <w:bCs/>
        </w:rPr>
        <w:t>№</w:t>
      </w:r>
      <w:r>
        <w:rPr>
          <w:b/>
          <w:bCs/>
        </w:rPr>
        <w:t xml:space="preserve"> 91-217  </w:t>
      </w:r>
    </w:p>
    <w:p w:rsidR="004310D9" w:rsidRPr="004310D9" w:rsidRDefault="004310D9" w:rsidP="004310D9"/>
    <w:p w:rsidR="00EF7FCB" w:rsidRPr="003D3B01" w:rsidRDefault="00EF7FCB" w:rsidP="00EF7FCB">
      <w:pPr>
        <w:jc w:val="center"/>
        <w:rPr>
          <w:b/>
        </w:rPr>
      </w:pPr>
      <w:r w:rsidRPr="003D3B01">
        <w:rPr>
          <w:b/>
        </w:rPr>
        <w:t xml:space="preserve">Источники внутреннего финансирования </w:t>
      </w:r>
      <w:proofErr w:type="spellStart"/>
      <w:r>
        <w:rPr>
          <w:b/>
        </w:rPr>
        <w:t>про</w:t>
      </w:r>
      <w:r w:rsidRPr="003D3B01">
        <w:rPr>
          <w:b/>
        </w:rPr>
        <w:t>фицита</w:t>
      </w:r>
      <w:proofErr w:type="spellEnd"/>
      <w:r w:rsidRPr="003D3B01">
        <w:rPr>
          <w:b/>
        </w:rPr>
        <w:t xml:space="preserve"> бюджета</w:t>
      </w:r>
      <w:r>
        <w:rPr>
          <w:b/>
        </w:rPr>
        <w:t xml:space="preserve"> за </w:t>
      </w:r>
      <w:r w:rsidR="007F060D">
        <w:rPr>
          <w:b/>
        </w:rPr>
        <w:t>202</w:t>
      </w:r>
      <w:r w:rsidR="002403CA">
        <w:rPr>
          <w:b/>
        </w:rPr>
        <w:t>2</w:t>
      </w:r>
      <w:r w:rsidR="007F060D">
        <w:rPr>
          <w:b/>
        </w:rPr>
        <w:t xml:space="preserve"> год</w:t>
      </w:r>
      <w:r>
        <w:rPr>
          <w:b/>
        </w:rPr>
        <w:t>.</w:t>
      </w:r>
    </w:p>
    <w:p w:rsidR="00EF7FCB" w:rsidRDefault="00EF7FCB" w:rsidP="00EF7FCB"/>
    <w:tbl>
      <w:tblPr>
        <w:tblW w:w="9877" w:type="dxa"/>
        <w:tblInd w:w="90" w:type="dxa"/>
        <w:tblLook w:val="0000"/>
      </w:tblPr>
      <w:tblGrid>
        <w:gridCol w:w="5547"/>
        <w:gridCol w:w="3196"/>
        <w:gridCol w:w="1134"/>
      </w:tblGrid>
      <w:tr w:rsidR="002403CA" w:rsidTr="00B94D42">
        <w:trPr>
          <w:trHeight w:val="270"/>
        </w:trPr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2403CA" w:rsidTr="00B94D42">
        <w:trPr>
          <w:trHeight w:val="780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Pr="00EC172E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403CA" w:rsidTr="00B94D42">
        <w:trPr>
          <w:trHeight w:val="315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2403CA" w:rsidTr="00B94D42">
        <w:trPr>
          <w:trHeight w:val="53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дефицита бюджетов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-в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сего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168,4</w:t>
            </w:r>
          </w:p>
        </w:tc>
      </w:tr>
      <w:tr w:rsidR="002403CA" w:rsidTr="00B94D42">
        <w:trPr>
          <w:trHeight w:val="57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2403CA" w:rsidTr="00B94D42">
        <w:trPr>
          <w:trHeight w:val="52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168,4</w:t>
            </w:r>
          </w:p>
        </w:tc>
      </w:tr>
      <w:tr w:rsidR="002403CA" w:rsidTr="00B94D42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-9591,7</w:t>
            </w:r>
          </w:p>
        </w:tc>
      </w:tr>
      <w:tr w:rsidR="002403CA" w:rsidTr="00B94D42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9423,3</w:t>
            </w:r>
          </w:p>
        </w:tc>
      </w:tr>
    </w:tbl>
    <w:p w:rsidR="00EF7FCB" w:rsidRDefault="00EF7FCB" w:rsidP="00EF7FCB"/>
    <w:p w:rsidR="004310D9" w:rsidRPr="004310D9" w:rsidRDefault="004310D9" w:rsidP="004310D9"/>
    <w:p w:rsidR="004310D9" w:rsidRPr="004310D9" w:rsidRDefault="004310D9">
      <w:pPr>
        <w:rPr>
          <w:b/>
        </w:rPr>
      </w:pPr>
    </w:p>
    <w:sectPr w:rsidR="004310D9" w:rsidRPr="004310D9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D3030"/>
    <w:rsid w:val="001D4B2A"/>
    <w:rsid w:val="00227A90"/>
    <w:rsid w:val="002403CA"/>
    <w:rsid w:val="002A0E17"/>
    <w:rsid w:val="002A2EB6"/>
    <w:rsid w:val="002E53AF"/>
    <w:rsid w:val="002E6A21"/>
    <w:rsid w:val="003D6EA4"/>
    <w:rsid w:val="003E4500"/>
    <w:rsid w:val="00417447"/>
    <w:rsid w:val="004310D9"/>
    <w:rsid w:val="00485DB7"/>
    <w:rsid w:val="005021B1"/>
    <w:rsid w:val="005E5034"/>
    <w:rsid w:val="006E3221"/>
    <w:rsid w:val="006F18B8"/>
    <w:rsid w:val="00797CB3"/>
    <w:rsid w:val="007F060D"/>
    <w:rsid w:val="00843DE5"/>
    <w:rsid w:val="008745B7"/>
    <w:rsid w:val="008B64E4"/>
    <w:rsid w:val="009E2616"/>
    <w:rsid w:val="00B54C89"/>
    <w:rsid w:val="00B55DEE"/>
    <w:rsid w:val="00B6228E"/>
    <w:rsid w:val="00B63338"/>
    <w:rsid w:val="00B94D42"/>
    <w:rsid w:val="00C10022"/>
    <w:rsid w:val="00C73C2E"/>
    <w:rsid w:val="00C9397A"/>
    <w:rsid w:val="00CD4F53"/>
    <w:rsid w:val="00D22581"/>
    <w:rsid w:val="00D739C9"/>
    <w:rsid w:val="00DC2834"/>
    <w:rsid w:val="00E77A56"/>
    <w:rsid w:val="00ED05F8"/>
    <w:rsid w:val="00EF7FCB"/>
    <w:rsid w:val="00F057FB"/>
    <w:rsid w:val="00F2790E"/>
    <w:rsid w:val="00F346DC"/>
    <w:rsid w:val="00F349FF"/>
    <w:rsid w:val="00F8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Body Text Indent"/>
    <w:basedOn w:val="a"/>
    <w:link w:val="a5"/>
    <w:semiHidden/>
    <w:rsid w:val="00227A90"/>
    <w:pPr>
      <w:widowControl/>
      <w:suppressAutoHyphens/>
      <w:autoSpaceDE/>
      <w:autoSpaceDN/>
      <w:adjustRightInd/>
      <w:ind w:firstLine="900"/>
      <w:jc w:val="both"/>
    </w:pPr>
    <w:rPr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227A90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6">
    <w:name w:val="Table Grid"/>
    <w:basedOn w:val="a1"/>
    <w:uiPriority w:val="59"/>
    <w:rsid w:val="00EF7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20</cp:revision>
  <cp:lastPrinted>2023-03-31T12:08:00Z</cp:lastPrinted>
  <dcterms:created xsi:type="dcterms:W3CDTF">2020-01-29T07:21:00Z</dcterms:created>
  <dcterms:modified xsi:type="dcterms:W3CDTF">2023-05-16T10:04:00Z</dcterms:modified>
</cp:coreProperties>
</file>